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1</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29</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952" w:type="pct"/>
        <w:tblInd w:w="0" w:type="dxa"/>
        <w:tblLayout w:type="fixed"/>
        <w:tblCellMar>
          <w:top w:w="0" w:type="dxa"/>
          <w:left w:w="108" w:type="dxa"/>
          <w:bottom w:w="0" w:type="dxa"/>
          <w:right w:w="108" w:type="dxa"/>
        </w:tblCellMar>
      </w:tblPr>
      <w:tblGrid>
        <w:gridCol w:w="907"/>
        <w:gridCol w:w="1913"/>
        <w:gridCol w:w="1006"/>
        <w:gridCol w:w="1684"/>
        <w:gridCol w:w="1106"/>
        <w:gridCol w:w="1036"/>
        <w:gridCol w:w="1225"/>
        <w:gridCol w:w="990"/>
      </w:tblGrid>
      <w:tr w14:paraId="2780ADB3">
        <w:tblPrEx>
          <w:tblCellMar>
            <w:top w:w="0" w:type="dxa"/>
            <w:left w:w="108" w:type="dxa"/>
            <w:bottom w:w="0" w:type="dxa"/>
            <w:right w:w="108" w:type="dxa"/>
          </w:tblCellMar>
        </w:tblPrEx>
        <w:trPr>
          <w:trHeight w:val="958" w:hRule="atLeast"/>
        </w:trPr>
        <w:tc>
          <w:tcPr>
            <w:tcW w:w="459" w:type="pct"/>
            <w:tcBorders>
              <w:top w:val="single" w:color="auto" w:sz="4" w:space="0"/>
              <w:left w:val="single" w:color="auto" w:sz="4" w:space="0"/>
              <w:bottom w:val="single" w:color="auto" w:sz="4" w:space="0"/>
              <w:right w:val="single" w:color="auto" w:sz="4" w:space="0"/>
            </w:tcBorders>
            <w:noWrap w:val="0"/>
            <w:vAlign w:val="center"/>
          </w:tcPr>
          <w:p w14:paraId="4D15C92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969" w:type="pct"/>
            <w:tcBorders>
              <w:top w:val="single" w:color="auto" w:sz="4" w:space="0"/>
              <w:left w:val="nil"/>
              <w:bottom w:val="single" w:color="auto" w:sz="4" w:space="0"/>
              <w:right w:val="single" w:color="auto" w:sz="4" w:space="0"/>
            </w:tcBorders>
            <w:noWrap w:val="0"/>
            <w:vAlign w:val="center"/>
          </w:tcPr>
          <w:p w14:paraId="6D05AD1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509" w:type="pct"/>
            <w:tcBorders>
              <w:top w:val="single" w:color="auto" w:sz="4" w:space="0"/>
              <w:left w:val="nil"/>
              <w:bottom w:val="single" w:color="auto" w:sz="4" w:space="0"/>
              <w:right w:val="single" w:color="auto" w:sz="4" w:space="0"/>
            </w:tcBorders>
            <w:noWrap w:val="0"/>
            <w:vAlign w:val="center"/>
          </w:tcPr>
          <w:p w14:paraId="27C988F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853" w:type="pct"/>
            <w:tcBorders>
              <w:top w:val="single" w:color="auto" w:sz="4" w:space="0"/>
              <w:left w:val="nil"/>
              <w:bottom w:val="single" w:color="auto" w:sz="4" w:space="0"/>
              <w:right w:val="single" w:color="auto" w:sz="4" w:space="0"/>
            </w:tcBorders>
            <w:noWrap w:val="0"/>
            <w:vAlign w:val="center"/>
          </w:tcPr>
          <w:p w14:paraId="36D3503D">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560" w:type="pct"/>
            <w:tcBorders>
              <w:top w:val="single" w:color="auto" w:sz="4" w:space="0"/>
              <w:left w:val="nil"/>
              <w:bottom w:val="single" w:color="auto" w:sz="4" w:space="0"/>
              <w:right w:val="single" w:color="auto" w:sz="4" w:space="0"/>
            </w:tcBorders>
            <w:noWrap w:val="0"/>
            <w:vAlign w:val="center"/>
          </w:tcPr>
          <w:p w14:paraId="796B8F30">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524" w:type="pct"/>
            <w:tcBorders>
              <w:top w:val="single" w:color="auto" w:sz="4" w:space="0"/>
              <w:left w:val="nil"/>
              <w:bottom w:val="single" w:color="auto" w:sz="4" w:space="0"/>
              <w:right w:val="single" w:color="auto" w:sz="4" w:space="0"/>
            </w:tcBorders>
            <w:noWrap w:val="0"/>
            <w:vAlign w:val="center"/>
          </w:tcPr>
          <w:p w14:paraId="58E513E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620" w:type="pct"/>
            <w:tcBorders>
              <w:top w:val="single" w:color="auto" w:sz="4" w:space="0"/>
              <w:left w:val="nil"/>
              <w:bottom w:val="single" w:color="auto" w:sz="4" w:space="0"/>
              <w:right w:val="single" w:color="auto" w:sz="4" w:space="0"/>
            </w:tcBorders>
            <w:noWrap/>
            <w:vAlign w:val="center"/>
          </w:tcPr>
          <w:p w14:paraId="2D4343A0">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c>
          <w:tcPr>
            <w:tcW w:w="501" w:type="pct"/>
            <w:tcBorders>
              <w:top w:val="single" w:color="auto" w:sz="4" w:space="0"/>
              <w:left w:val="nil"/>
              <w:bottom w:val="single" w:color="auto" w:sz="4" w:space="0"/>
              <w:right w:val="single" w:color="auto" w:sz="4" w:space="0"/>
            </w:tcBorders>
            <w:noWrap/>
            <w:vAlign w:val="center"/>
          </w:tcPr>
          <w:p w14:paraId="17DC1A06">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765AD620">
        <w:tblPrEx>
          <w:tblCellMar>
            <w:top w:w="0" w:type="dxa"/>
            <w:left w:w="108" w:type="dxa"/>
            <w:bottom w:w="0" w:type="dxa"/>
            <w:right w:w="108" w:type="dxa"/>
          </w:tblCellMar>
        </w:tblPrEx>
        <w:trPr>
          <w:trHeight w:val="1313" w:hRule="atLeast"/>
        </w:trPr>
        <w:tc>
          <w:tcPr>
            <w:tcW w:w="459" w:type="pct"/>
            <w:tcBorders>
              <w:top w:val="single" w:color="auto" w:sz="4" w:space="0"/>
              <w:left w:val="single" w:color="auto" w:sz="8" w:space="0"/>
              <w:bottom w:val="single" w:color="auto" w:sz="4" w:space="0"/>
              <w:right w:val="single" w:color="auto" w:sz="8" w:space="0"/>
            </w:tcBorders>
            <w:noWrap w:val="0"/>
            <w:vAlign w:val="center"/>
          </w:tcPr>
          <w:p w14:paraId="76DE313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849" w:type="dxa"/>
            <w:tcBorders>
              <w:top w:val="single" w:color="auto" w:sz="4" w:space="0"/>
              <w:left w:val="nil"/>
              <w:bottom w:val="single" w:color="auto" w:sz="4" w:space="0"/>
              <w:right w:val="single" w:color="auto" w:sz="8" w:space="0"/>
            </w:tcBorders>
            <w:noWrap w:val="0"/>
            <w:vAlign w:val="center"/>
          </w:tcPr>
          <w:p w14:paraId="29B8E36A">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定海东路505号城市物流二期1号仓库部分</w:t>
            </w:r>
          </w:p>
        </w:tc>
        <w:tc>
          <w:tcPr>
            <w:tcW w:w="972" w:type="dxa"/>
            <w:tcBorders>
              <w:top w:val="single" w:color="auto" w:sz="4" w:space="0"/>
              <w:left w:val="nil"/>
              <w:bottom w:val="single" w:color="auto" w:sz="4" w:space="0"/>
              <w:right w:val="single" w:color="auto" w:sz="8" w:space="0"/>
            </w:tcBorders>
            <w:noWrap w:val="0"/>
            <w:vAlign w:val="center"/>
          </w:tcPr>
          <w:p w14:paraId="09C24E8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工业仓储</w:t>
            </w:r>
          </w:p>
        </w:tc>
        <w:tc>
          <w:tcPr>
            <w:tcW w:w="1628" w:type="dxa"/>
            <w:tcBorders>
              <w:top w:val="single" w:color="auto" w:sz="4" w:space="0"/>
              <w:left w:val="nil"/>
              <w:bottom w:val="single" w:color="auto" w:sz="4" w:space="0"/>
              <w:right w:val="single" w:color="auto" w:sz="8" w:space="0"/>
            </w:tcBorders>
            <w:noWrap w:val="0"/>
            <w:vAlign w:val="center"/>
          </w:tcPr>
          <w:p w14:paraId="7260E3DD">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bidi="ar-SA"/>
              </w:rPr>
              <w:t>3089</w:t>
            </w:r>
          </w:p>
        </w:tc>
        <w:tc>
          <w:tcPr>
            <w:tcW w:w="1069" w:type="dxa"/>
            <w:tcBorders>
              <w:top w:val="single" w:color="auto" w:sz="4" w:space="0"/>
              <w:left w:val="nil"/>
              <w:bottom w:val="single" w:color="auto" w:sz="4" w:space="0"/>
              <w:right w:val="single" w:color="auto" w:sz="8" w:space="0"/>
            </w:tcBorders>
            <w:noWrap w:val="0"/>
            <w:vAlign w:val="center"/>
          </w:tcPr>
          <w:p w14:paraId="533F86C8">
            <w:pPr>
              <w:pStyle w:val="9"/>
              <w:shd w:val="clear" w:color="auto" w:fill="FFFFFF"/>
              <w:snapToGrid w:val="0"/>
              <w:spacing w:before="0" w:beforeAutospacing="0" w:after="0" w:afterAutospacing="0" w:line="320" w:lineRule="exact"/>
              <w:ind w:firstLine="210" w:firstLineChars="100"/>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SA"/>
              </w:rPr>
              <w:t>964500</w:t>
            </w:r>
          </w:p>
        </w:tc>
        <w:tc>
          <w:tcPr>
            <w:tcW w:w="1001" w:type="dxa"/>
            <w:tcBorders>
              <w:top w:val="single" w:color="auto" w:sz="4" w:space="0"/>
              <w:left w:val="nil"/>
              <w:bottom w:val="single" w:color="auto" w:sz="4" w:space="0"/>
              <w:right w:val="nil"/>
            </w:tcBorders>
            <w:noWrap w:val="0"/>
            <w:vAlign w:val="center"/>
          </w:tcPr>
          <w:p w14:paraId="41D5C98F">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100000</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5AEEA310">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1年</w:t>
            </w:r>
          </w:p>
        </w:tc>
        <w:tc>
          <w:tcPr>
            <w:tcW w:w="501" w:type="pct"/>
            <w:tcBorders>
              <w:top w:val="single" w:color="auto" w:sz="4" w:space="0"/>
              <w:left w:val="single" w:color="auto" w:sz="4" w:space="0"/>
              <w:bottom w:val="single" w:color="auto" w:sz="4" w:space="0"/>
              <w:right w:val="single" w:color="auto" w:sz="4" w:space="0"/>
            </w:tcBorders>
            <w:noWrap w:val="0"/>
            <w:vAlign w:val="center"/>
          </w:tcPr>
          <w:p w14:paraId="08E17848">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物业费另计(单价2元/平方/月)</w:t>
            </w:r>
          </w:p>
        </w:tc>
      </w:tr>
    </w:tbl>
    <w:p w14:paraId="35C887F2">
      <w:pPr>
        <w:spacing w:line="420" w:lineRule="exact"/>
        <w:ind w:firstLine="482" w:firstLineChars="200"/>
        <w:rPr>
          <w:rFonts w:hint="eastAsia" w:ascii="宋体" w:hAnsi="宋体"/>
          <w:b/>
          <w:color w:val="auto"/>
          <w:sz w:val="24"/>
          <w:szCs w:val="24"/>
          <w:lang w:val="en-US" w:eastAsia="zh-CN"/>
        </w:rPr>
      </w:pPr>
      <w:r>
        <w:rPr>
          <w:rFonts w:hint="eastAsia" w:ascii="宋体" w:hAnsi="宋体"/>
          <w:b/>
          <w:color w:val="auto"/>
          <w:sz w:val="24"/>
          <w:szCs w:val="24"/>
          <w:lang w:val="en-US" w:eastAsia="zh-CN"/>
        </w:rPr>
        <w:t>特别提醒：</w:t>
      </w:r>
    </w:p>
    <w:p w14:paraId="4E7C5796">
      <w:pPr>
        <w:numPr>
          <w:ilvl w:val="0"/>
          <w:numId w:val="1"/>
        </w:numPr>
        <w:spacing w:line="360" w:lineRule="auto"/>
        <w:ind w:firstLine="482"/>
        <w:rPr>
          <w:rFonts w:ascii="宋体" w:hAnsi="宋体" w:cs="宋体"/>
          <w:b/>
          <w:kern w:val="0"/>
          <w:sz w:val="24"/>
          <w:szCs w:val="24"/>
        </w:rPr>
      </w:pPr>
      <w:bookmarkStart w:id="0" w:name="OLE_LINK7"/>
      <w:r>
        <w:rPr>
          <w:rFonts w:hint="eastAsia" w:ascii="宋体" w:hAnsi="宋体"/>
          <w:b/>
          <w:color w:val="auto"/>
          <w:sz w:val="24"/>
          <w:szCs w:val="24"/>
          <w:lang w:val="en-US" w:eastAsia="zh-CN"/>
        </w:rPr>
        <w:t>标的使用须符合仓库标准的法律法规进行使用。</w:t>
      </w:r>
      <w:r>
        <w:rPr>
          <w:rFonts w:hint="eastAsia" w:ascii="宋体" w:hAnsi="宋体" w:eastAsia="宋体" w:cs="宋体"/>
          <w:b/>
          <w:color w:val="auto"/>
          <w:sz w:val="24"/>
          <w:szCs w:val="24"/>
          <w:lang w:val="en-US" w:eastAsia="zh-CN"/>
        </w:rPr>
        <w:t>如发现违反该标的</w:t>
      </w:r>
      <w:r>
        <w:rPr>
          <w:rFonts w:hint="eastAsia" w:ascii="宋体" w:hAnsi="宋体" w:cs="宋体"/>
          <w:b/>
          <w:color w:val="auto"/>
          <w:sz w:val="24"/>
          <w:szCs w:val="24"/>
          <w:lang w:val="en-US" w:eastAsia="zh-CN"/>
        </w:rPr>
        <w:t>规定使用</w:t>
      </w:r>
      <w:r>
        <w:rPr>
          <w:rFonts w:hint="eastAsia" w:ascii="宋体" w:hAnsi="宋体" w:eastAsia="宋体" w:cs="宋体"/>
          <w:b/>
          <w:color w:val="auto"/>
          <w:sz w:val="24"/>
          <w:szCs w:val="24"/>
          <w:lang w:val="en-US" w:eastAsia="zh-CN"/>
        </w:rPr>
        <w:t>的视为违约，委托人（出租人）有权无条件收回该标的，履约保证金不予退还。</w:t>
      </w:r>
      <w:r>
        <w:rPr>
          <w:rFonts w:hint="eastAsia" w:ascii="宋体" w:hAnsi="宋体"/>
          <w:b/>
          <w:sz w:val="24"/>
          <w:szCs w:val="24"/>
        </w:rPr>
        <w:t>租赁期间，若因</w:t>
      </w:r>
      <w:r>
        <w:rPr>
          <w:rFonts w:hint="eastAsia" w:ascii="宋体" w:hAnsi="宋体" w:cs="宋体"/>
          <w:b/>
          <w:sz w:val="24"/>
          <w:szCs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szCs w:val="24"/>
        </w:rPr>
        <w:t>，致使本合同不能履行时，</w:t>
      </w:r>
      <w:r>
        <w:rPr>
          <w:rFonts w:hint="eastAsia"/>
          <w:b/>
          <w:sz w:val="24"/>
        </w:rPr>
        <w:t>委托人（出租人）</w:t>
      </w:r>
      <w:r>
        <w:rPr>
          <w:rFonts w:hint="eastAsia" w:ascii="宋体" w:hAnsi="宋体"/>
          <w:b/>
          <w:sz w:val="24"/>
          <w:szCs w:val="24"/>
        </w:rPr>
        <w:t>提前二个月通知</w:t>
      </w:r>
      <w:r>
        <w:rPr>
          <w:rFonts w:hint="eastAsia" w:ascii="宋体" w:hAnsi="宋体" w:cs="宋体"/>
          <w:b/>
          <w:sz w:val="24"/>
          <w:szCs w:val="24"/>
        </w:rPr>
        <w:t>买受人（承租人）</w:t>
      </w:r>
      <w:r>
        <w:rPr>
          <w:rFonts w:hint="eastAsia" w:ascii="宋体" w:hAnsi="宋体"/>
          <w:b/>
          <w:sz w:val="24"/>
          <w:szCs w:val="24"/>
        </w:rPr>
        <w:t>，有权单方解除本合同，</w:t>
      </w:r>
      <w:r>
        <w:rPr>
          <w:rFonts w:hint="eastAsia" w:ascii="宋体" w:hAnsi="宋体" w:cs="宋体"/>
          <w:b/>
          <w:kern w:val="0"/>
          <w:sz w:val="24"/>
          <w:szCs w:val="24"/>
        </w:rPr>
        <w:t>收回租赁标的（租金按实结算），</w:t>
      </w:r>
      <w:r>
        <w:rPr>
          <w:rFonts w:hint="eastAsia" w:ascii="宋体" w:hAnsi="宋体" w:cs="宋体"/>
          <w:b/>
          <w:sz w:val="24"/>
          <w:szCs w:val="24"/>
        </w:rPr>
        <w:t>买受人（承租人）</w:t>
      </w:r>
      <w:r>
        <w:rPr>
          <w:rFonts w:hint="eastAsia" w:ascii="宋体" w:hAnsi="宋体" w:cs="宋体"/>
          <w:b/>
          <w:kern w:val="0"/>
          <w:sz w:val="24"/>
          <w:szCs w:val="24"/>
        </w:rPr>
        <w:t>必须无条件服从且不得向</w:t>
      </w:r>
      <w:r>
        <w:rPr>
          <w:rFonts w:hint="eastAsia"/>
          <w:b/>
          <w:sz w:val="24"/>
        </w:rPr>
        <w:t>委托人（出租人）</w:t>
      </w:r>
      <w:r>
        <w:rPr>
          <w:rFonts w:hint="eastAsia" w:ascii="宋体" w:hAnsi="宋体" w:cs="宋体"/>
          <w:b/>
          <w:kern w:val="0"/>
          <w:sz w:val="24"/>
          <w:szCs w:val="24"/>
        </w:rPr>
        <w:t>主张任何损失赔偿或补偿。</w:t>
      </w:r>
    </w:p>
    <w:bookmarkEnd w:id="0"/>
    <w:p w14:paraId="3B82B0AD">
      <w:pPr>
        <w:numPr>
          <w:ilvl w:val="0"/>
          <w:numId w:val="1"/>
        </w:numPr>
        <w:spacing w:line="360" w:lineRule="auto"/>
        <w:ind w:firstLine="482" w:firstLineChars="0"/>
        <w:rPr>
          <w:rFonts w:hint="eastAsia" w:ascii="宋体" w:hAnsi="宋体" w:cs="宋体"/>
          <w:b/>
          <w:kern w:val="0"/>
          <w:sz w:val="24"/>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4D2B424">
      <w:pPr>
        <w:numPr>
          <w:ilvl w:val="0"/>
          <w:numId w:val="0"/>
        </w:numPr>
        <w:spacing w:line="420" w:lineRule="exact"/>
        <w:ind w:firstLine="482" w:firstLineChars="200"/>
        <w:rPr>
          <w:rFonts w:hint="default" w:ascii="宋体" w:hAnsi="宋体"/>
          <w:b/>
          <w:color w:val="auto"/>
          <w:sz w:val="24"/>
          <w:szCs w:val="24"/>
          <w:lang w:val="en-US" w:eastAsia="zh-CN"/>
        </w:rPr>
      </w:pPr>
      <w:r>
        <w:rPr>
          <w:rFonts w:hint="eastAsia" w:ascii="宋体" w:hAnsi="宋体" w:cs="宋体"/>
          <w:b/>
          <w:color w:val="auto"/>
          <w:sz w:val="24"/>
          <w:szCs w:val="24"/>
          <w:lang w:val="en-US" w:eastAsia="zh-CN"/>
        </w:rPr>
        <w:t>3、</w:t>
      </w:r>
      <w:r>
        <w:rPr>
          <w:rFonts w:hint="eastAsia" w:ascii="宋体" w:hAnsi="宋体"/>
          <w:b/>
          <w:color w:val="auto"/>
          <w:sz w:val="24"/>
          <w:szCs w:val="24"/>
          <w:lang w:val="en-US" w:eastAsia="zh-CN"/>
        </w:rPr>
        <w:t>厂房不得存放易燃易爆品、危险化学品等，不能产生噪音、污染物等不符合当地政府要求的排放物，不得进行法律、法规禁止的其他活动。</w:t>
      </w:r>
      <w:r>
        <w:rPr>
          <w:rFonts w:hint="eastAsia" w:ascii="宋体" w:hAnsi="宋体" w:eastAsia="宋体" w:cs="宋体"/>
          <w:b/>
          <w:color w:val="auto"/>
          <w:sz w:val="24"/>
          <w:szCs w:val="24"/>
          <w:lang w:val="en-US" w:eastAsia="zh-CN"/>
        </w:rPr>
        <w:t>如发现违反该标的房屋用途</w:t>
      </w:r>
      <w:r>
        <w:rPr>
          <w:rFonts w:hint="eastAsia" w:ascii="宋体" w:hAnsi="宋体" w:cs="宋体"/>
          <w:b/>
          <w:color w:val="auto"/>
          <w:sz w:val="24"/>
          <w:szCs w:val="24"/>
          <w:lang w:val="en-US" w:eastAsia="zh-CN"/>
        </w:rPr>
        <w:t>规定</w:t>
      </w:r>
      <w:r>
        <w:rPr>
          <w:rFonts w:hint="eastAsia" w:ascii="宋体" w:hAnsi="宋体" w:eastAsia="宋体" w:cs="宋体"/>
          <w:b/>
          <w:color w:val="auto"/>
          <w:sz w:val="24"/>
          <w:szCs w:val="24"/>
          <w:lang w:val="en-US" w:eastAsia="zh-CN"/>
        </w:rPr>
        <w:t>的视为违约，委托人（出租人）有权无条件收回该标的，履约保证金不予退还。</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D3A5874">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w:t>
      </w:r>
      <w:r>
        <w:rPr>
          <w:rFonts w:hint="eastAsia" w:ascii="宋体" w:hAnsi="宋体" w:eastAsia="宋体" w:cs="宋体"/>
          <w:bCs/>
          <w:color w:val="auto"/>
          <w:kern w:val="2"/>
          <w:sz w:val="24"/>
          <w:szCs w:val="22"/>
          <w:lang w:val="en-US" w:eastAsia="zh-CN" w:bidi="ar-SA"/>
        </w:rPr>
        <w:t>买人应为注册在宁波市</w:t>
      </w:r>
      <w:r>
        <w:rPr>
          <w:rFonts w:hint="eastAsia" w:ascii="宋体" w:hAnsi="宋体" w:cs="宋体"/>
          <w:bCs/>
          <w:color w:val="auto"/>
          <w:kern w:val="2"/>
          <w:sz w:val="24"/>
          <w:szCs w:val="22"/>
          <w:lang w:val="en-US" w:eastAsia="zh-CN" w:bidi="ar-SA"/>
        </w:rPr>
        <w:t>内</w:t>
      </w:r>
      <w:r>
        <w:rPr>
          <w:rFonts w:hint="eastAsia" w:ascii="宋体" w:hAnsi="宋体" w:eastAsia="宋体" w:cs="宋体"/>
          <w:bCs/>
          <w:color w:val="auto"/>
          <w:kern w:val="2"/>
          <w:sz w:val="24"/>
          <w:szCs w:val="22"/>
          <w:lang w:val="en-US" w:eastAsia="zh-CN" w:bidi="ar-SA"/>
        </w:rPr>
        <w:t>拥有独立法人资格的企业，竞买人登记证件符合国家有关规定，不存在法律障碍。不接收联合体报名。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28</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1</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D6383CB">
      <w:pPr>
        <w:spacing w:line="400" w:lineRule="exact"/>
        <w:ind w:firstLine="464" w:firstLineChars="200"/>
        <w:jc w:val="left"/>
        <w:rPr>
          <w:rFonts w:hint="eastAsia" w:ascii="宋体" w:hAnsi="宋体" w:eastAsia="宋体" w:cs="宋体"/>
          <w:bCs/>
          <w:color w:val="000000"/>
          <w:kern w:val="0"/>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rPr>
        <w:t>买</w:t>
      </w:r>
      <w:r>
        <w:rPr>
          <w:rFonts w:hint="eastAsia" w:ascii="宋体" w:hAnsi="宋体" w:eastAsia="宋体" w:cs="宋体"/>
          <w:bCs/>
          <w:color w:val="000000"/>
          <w:kern w:val="0"/>
          <w:sz w:val="24"/>
          <w:szCs w:val="24"/>
          <w:lang w:val="en-US" w:eastAsia="zh-CN" w:bidi="ar-SA"/>
        </w:rPr>
        <w:t>受人（承租人）应于7个工作日内签订《房屋租赁合同》，并于《房屋租赁合同》签订之日起7个工作日内将首期租金及履约保证金（履约保证金为20万元）直接付至委托人指定账户名称：宁波市镇海区城市物流开发有限公司 ，开户行：中国建设银行宁波市镇海区支行，账号：33101984036050513724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状态为空置</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FF0000"/>
          <w:sz w:val="24"/>
          <w:szCs w:val="24"/>
        </w:rPr>
        <w:t>租赁期间牵涉到的水、电、</w:t>
      </w:r>
      <w:r>
        <w:rPr>
          <w:rFonts w:hint="eastAsia" w:ascii="宋体" w:hAnsi="宋体" w:cs="宋体"/>
          <w:color w:val="FF0000"/>
          <w:sz w:val="24"/>
          <w:szCs w:val="24"/>
          <w:lang w:val="en-US" w:eastAsia="zh-CN"/>
        </w:rPr>
        <w:t>气、</w:t>
      </w:r>
      <w:r>
        <w:rPr>
          <w:rFonts w:hint="eastAsia" w:ascii="宋体" w:hAnsi="宋体" w:eastAsia="宋体" w:cs="宋体"/>
          <w:color w:val="FF0000"/>
          <w:sz w:val="24"/>
          <w:szCs w:val="24"/>
        </w:rPr>
        <w:t>通讯、物业管理费</w:t>
      </w:r>
      <w:r>
        <w:rPr>
          <w:rFonts w:hint="eastAsia" w:ascii="宋体" w:hAnsi="宋体" w:cs="宋体"/>
          <w:color w:val="FF0000"/>
          <w:sz w:val="24"/>
          <w:szCs w:val="24"/>
          <w:lang w:eastAsia="zh-CN"/>
        </w:rPr>
        <w:t>、</w:t>
      </w:r>
      <w:r>
        <w:rPr>
          <w:rFonts w:hint="eastAsia" w:ascii="宋体" w:hAnsi="宋体" w:eastAsia="宋体" w:cs="宋体"/>
          <w:i w:val="0"/>
          <w:iCs w:val="0"/>
          <w:caps w:val="0"/>
          <w:color w:val="FF0000"/>
          <w:spacing w:val="0"/>
          <w:sz w:val="24"/>
          <w:szCs w:val="24"/>
          <w:shd w:val="clear" w:fill="FFFFFF"/>
        </w:rPr>
        <w:t>厂区出入口设置</w:t>
      </w:r>
      <w:r>
        <w:rPr>
          <w:rFonts w:hint="eastAsia" w:ascii="宋体" w:hAnsi="宋体" w:eastAsia="宋体" w:cs="宋体"/>
          <w:color w:val="FF0000"/>
          <w:sz w:val="24"/>
          <w:szCs w:val="24"/>
        </w:rPr>
        <w:t>等一切经营费用以及出租使用期间的日常维修、维护、保养</w:t>
      </w:r>
      <w:r>
        <w:rPr>
          <w:rFonts w:hint="eastAsia" w:ascii="宋体" w:hAnsi="宋体" w:eastAsia="宋体" w:cs="宋体"/>
          <w:color w:val="FF0000"/>
          <w:sz w:val="24"/>
          <w:szCs w:val="24"/>
          <w:lang w:eastAsia="zh-CN"/>
        </w:rPr>
        <w:t>、扩容</w:t>
      </w:r>
      <w:r>
        <w:rPr>
          <w:rFonts w:hint="eastAsia" w:ascii="宋体" w:hAnsi="宋体" w:eastAsia="宋体" w:cs="宋体"/>
          <w:color w:val="FF0000"/>
          <w:sz w:val="24"/>
          <w:szCs w:val="24"/>
        </w:rPr>
        <w:t>等一切费用,均由</w:t>
      </w:r>
      <w:r>
        <w:rPr>
          <w:rFonts w:hint="eastAsia" w:ascii="宋体" w:hAnsi="宋体" w:eastAsia="宋体" w:cs="宋体"/>
          <w:color w:val="FF0000"/>
          <w:sz w:val="24"/>
          <w:szCs w:val="24"/>
          <w:lang w:eastAsia="zh-CN"/>
        </w:rPr>
        <w:t>买受人（承租人）</w:t>
      </w:r>
      <w:r>
        <w:rPr>
          <w:rFonts w:hint="eastAsia" w:ascii="宋体" w:hAnsi="宋体" w:eastAsia="宋体" w:cs="宋体"/>
          <w:color w:val="FF0000"/>
          <w:sz w:val="24"/>
          <w:szCs w:val="24"/>
        </w:rPr>
        <w:t>承担并自行结算。</w:t>
      </w:r>
    </w:p>
    <w:p w14:paraId="39C6A5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eastAsia="宋体" w:cs="宋体"/>
          <w:bCs/>
          <w:color w:val="auto"/>
          <w:kern w:val="2"/>
          <w:sz w:val="24"/>
          <w:szCs w:val="22"/>
          <w:lang w:val="en-US" w:eastAsia="zh-CN" w:bidi="ar-SA"/>
        </w:rPr>
        <w:t>房屋租赁合同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5、</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03B32F3E">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15</w:t>
      </w:r>
      <w:bookmarkStart w:id="1" w:name="_GoBack"/>
      <w:bookmarkEnd w:id="1"/>
      <w:r>
        <w:rPr>
          <w:rFonts w:hint="eastAsia" w:ascii="宋体" w:hAnsi="宋体" w:eastAsia="宋体" w:cs="宋体"/>
          <w:color w:val="auto"/>
          <w:sz w:val="24"/>
          <w:szCs w:val="24"/>
        </w:rPr>
        <w:t>日</w:t>
      </w:r>
    </w:p>
    <w:p w14:paraId="6CA59122">
      <w:pPr>
        <w:jc w:val="left"/>
        <w:rPr>
          <w:rFonts w:ascii="方正小标宋简体" w:hAnsi="方正小标宋简体" w:eastAsia="方正小标宋简体"/>
          <w:sz w:val="44"/>
          <w:szCs w:val="44"/>
        </w:rPr>
      </w:pPr>
      <w:r>
        <w:rPr>
          <w:rFonts w:hint="eastAsia" w:ascii="黑体" w:hAnsi="黑体" w:eastAsia="黑体" w:cs="黑体"/>
          <w:b/>
          <w:bCs/>
          <w:sz w:val="30"/>
          <w:szCs w:val="30"/>
        </w:rPr>
        <w:t>附件：</w:t>
      </w:r>
    </w:p>
    <w:p w14:paraId="45C3FAAF">
      <w:pPr>
        <w:adjustRightInd w:val="0"/>
        <w:snapToGrid w:val="0"/>
        <w:spacing w:line="560" w:lineRule="exact"/>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0A74ECE9">
      <w:pPr>
        <w:adjustRightInd w:val="0"/>
        <w:snapToGrid w:val="0"/>
        <w:spacing w:line="560" w:lineRule="exact"/>
        <w:jc w:val="center"/>
        <w:rPr>
          <w:rFonts w:hint="eastAsia" w:ascii="方正小标宋简体" w:hAnsi="方正小标宋简体" w:eastAsia="方正小标宋简体" w:cs="Helvetica"/>
          <w:bCs/>
          <w:sz w:val="44"/>
          <w:szCs w:val="44"/>
          <w:lang w:bidi="ar"/>
        </w:rPr>
      </w:pPr>
    </w:p>
    <w:p w14:paraId="42B1583F">
      <w:pPr>
        <w:adjustRightInd w:val="0"/>
        <w:snapToGrid w:val="0"/>
        <w:spacing w:line="560" w:lineRule="exact"/>
        <w:jc w:val="center"/>
        <w:rPr>
          <w:rFonts w:hint="eastAsia" w:ascii="方正小标宋简体" w:hAnsi="方正小标宋简体" w:eastAsia="方正小标宋简体" w:cs="Helvetica"/>
          <w:bCs/>
          <w:sz w:val="44"/>
          <w:szCs w:val="44"/>
          <w:lang w:bidi="ar"/>
        </w:rPr>
      </w:pPr>
      <w:r>
        <w:rPr>
          <w:rFonts w:hint="eastAsia" w:ascii="方正小标宋简体" w:hAnsi="方正小标宋简体" w:eastAsia="方正小标宋简体" w:cs="Helvetica"/>
          <w:bCs/>
          <w:sz w:val="44"/>
          <w:szCs w:val="44"/>
          <w:lang w:bidi="ar"/>
        </w:rPr>
        <w:t>房屋租赁合同</w:t>
      </w:r>
    </w:p>
    <w:p w14:paraId="28934C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（以下简称甲方）</w:t>
      </w:r>
    </w:p>
    <w:p w14:paraId="35DDDAF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统一社会信用代码：                      </w:t>
      </w:r>
    </w:p>
    <w:p w14:paraId="1B25612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w:t>
      </w:r>
      <w:r>
        <w:rPr>
          <w:rFonts w:hint="eastAsia" w:ascii="仿宋_GB2312" w:hAnsi="仿宋" w:eastAsia="仿宋_GB2312"/>
          <w:sz w:val="32"/>
          <w:szCs w:val="32"/>
          <w:lang w:val="en-US" w:eastAsia="zh-CN"/>
        </w:rPr>
        <w:t>定海东路505</w:t>
      </w:r>
      <w:r>
        <w:rPr>
          <w:rFonts w:hint="eastAsia" w:ascii="仿宋_GB2312" w:hAnsi="仿宋" w:eastAsia="仿宋_GB2312"/>
          <w:sz w:val="32"/>
          <w:szCs w:val="32"/>
        </w:rPr>
        <w:t>号。</w:t>
      </w:r>
    </w:p>
    <w:p w14:paraId="040C52C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67D09F0A">
      <w:pPr>
        <w:adjustRightInd w:val="0"/>
        <w:snapToGrid w:val="0"/>
        <w:spacing w:line="560" w:lineRule="exact"/>
        <w:rPr>
          <w:rFonts w:hint="eastAsia" w:ascii="仿宋_GB2312" w:hAnsi="仿宋" w:eastAsia="仿宋_GB2312"/>
          <w:sz w:val="32"/>
          <w:szCs w:val="32"/>
        </w:rPr>
      </w:pPr>
    </w:p>
    <w:p w14:paraId="49724169">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3F443FD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（以下简称乙方）</w:t>
      </w:r>
    </w:p>
    <w:p w14:paraId="385328FA">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6957C5E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地址：宁波市镇海区定海路289号</w:t>
      </w:r>
    </w:p>
    <w:p w14:paraId="6750FD6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w:t>
      </w:r>
    </w:p>
    <w:p w14:paraId="291605E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CED2C35">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第一条 资产基本情况</w:t>
      </w:r>
    </w:p>
    <w:p w14:paraId="41C5DD6C">
      <w:pPr>
        <w:adjustRightInd w:val="0"/>
        <w:snapToGrid w:val="0"/>
        <w:spacing w:line="560" w:lineRule="exact"/>
        <w:ind w:left="420" w:firstLine="217" w:firstLineChars="68"/>
        <w:rPr>
          <w:rFonts w:hint="eastAsia" w:ascii="仿宋_GB2312" w:hAnsi="仿宋" w:eastAsia="仿宋_GB2312"/>
          <w:color w:val="auto"/>
          <w:sz w:val="32"/>
          <w:szCs w:val="32"/>
        </w:rPr>
      </w:pPr>
      <w:r>
        <w:rPr>
          <w:rFonts w:hint="eastAsia" w:ascii="仿宋_GB2312" w:hAnsi="仿宋" w:eastAsia="仿宋_GB2312"/>
          <w:color w:val="auto"/>
          <w:sz w:val="32"/>
          <w:szCs w:val="32"/>
        </w:rPr>
        <w:t>（一）甲方拟出租资产坐落于【】，</w:t>
      </w:r>
      <w:r>
        <w:rPr>
          <w:rFonts w:hint="eastAsia" w:ascii="仿宋_GB2312" w:hAnsi="仿宋" w:eastAsia="仿宋_GB2312"/>
          <w:color w:val="auto"/>
          <w:sz w:val="32"/>
          <w:szCs w:val="32"/>
          <w:lang w:val="en-US" w:eastAsia="zh-CN"/>
        </w:rPr>
        <w:t>建筑</w:t>
      </w:r>
      <w:r>
        <w:rPr>
          <w:rFonts w:hint="eastAsia" w:ascii="仿宋_GB2312" w:hAnsi="仿宋" w:eastAsia="仿宋_GB2312"/>
          <w:color w:val="auto"/>
          <w:sz w:val="32"/>
          <w:szCs w:val="32"/>
        </w:rPr>
        <w:t>面积【】平方米，</w:t>
      </w:r>
      <w:r>
        <w:rPr>
          <w:rFonts w:hint="eastAsia" w:ascii="仿宋_GB2312" w:hAnsi="仿宋" w:eastAsia="仿宋_GB2312"/>
          <w:color w:val="auto"/>
          <w:sz w:val="32"/>
          <w:szCs w:val="32"/>
          <w:lang w:val="en-US" w:eastAsia="zh-CN"/>
        </w:rPr>
        <w:t>权证号【】</w:t>
      </w:r>
      <w:r>
        <w:rPr>
          <w:rFonts w:hint="eastAsia" w:ascii="仿宋_GB2312" w:hAnsi="仿宋" w:eastAsia="仿宋_GB2312"/>
          <w:color w:val="auto"/>
          <w:sz w:val="32"/>
          <w:szCs w:val="32"/>
        </w:rPr>
        <w:t>。（附权证证明）</w:t>
      </w:r>
    </w:p>
    <w:p w14:paraId="5ECC4EDA">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（二）装修、设备情况：</w:t>
      </w:r>
    </w:p>
    <w:p w14:paraId="5EF9DA2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u w:val="single"/>
        </w:rPr>
        <w:t xml:space="preserve">                                          </w:t>
      </w:r>
    </w:p>
    <w:p w14:paraId="32323B7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4C21354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3104C858">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第二条 资产用途</w:t>
      </w:r>
    </w:p>
    <w:p w14:paraId="1F86A79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使用。除双方另有约定外，乙方不得随意改变资产用途。</w:t>
      </w:r>
    </w:p>
    <w:p w14:paraId="0BD93576">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第三条 租赁期限</w:t>
      </w:r>
    </w:p>
    <w:p w14:paraId="26E4BA46">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2FCAD1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12C35783">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第四条 租赁履约保证金</w:t>
      </w:r>
    </w:p>
    <w:p w14:paraId="6B010A5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rPr>
        <w:t>之日起7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21F7807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2F07C6E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1、欠付租金及其他费用；</w:t>
      </w:r>
    </w:p>
    <w:p w14:paraId="58670AF9">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041CD7F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196BD1B">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6EE1977D">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第五条 租金及付款方式</w:t>
      </w:r>
    </w:p>
    <w:p w14:paraId="5F7D78B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1、双方约定，租金标准为</w:t>
      </w:r>
      <w:r>
        <w:rPr>
          <w:rFonts w:hint="eastAsia" w:ascii="仿宋_GB2312" w:hAnsi="仿宋" w:eastAsia="仿宋_GB2312"/>
          <w:sz w:val="32"/>
          <w:szCs w:val="32"/>
          <w:u w:val="single"/>
        </w:rPr>
        <w:t xml:space="preserve">     </w:t>
      </w:r>
      <w:r>
        <w:rPr>
          <w:rFonts w:hint="eastAsia" w:ascii="仿宋_GB2312" w:hAnsi="仿宋" w:eastAsia="仿宋_GB2312"/>
          <w:sz w:val="32"/>
          <w:szCs w:val="32"/>
        </w:rPr>
        <w:t>元/年,租金按半年支付一次，先付后用。</w:t>
      </w:r>
    </w:p>
    <w:p w14:paraId="6B8CEA4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1648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vAlign w:val="center"/>
          </w:tcPr>
          <w:p w14:paraId="1805ACC6">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期 次</w:t>
            </w:r>
          </w:p>
        </w:tc>
        <w:tc>
          <w:tcPr>
            <w:tcW w:w="2763" w:type="dxa"/>
            <w:vAlign w:val="center"/>
          </w:tcPr>
          <w:p w14:paraId="2CC1D3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支付时点</w:t>
            </w:r>
          </w:p>
        </w:tc>
        <w:tc>
          <w:tcPr>
            <w:tcW w:w="2655" w:type="dxa"/>
            <w:vAlign w:val="center"/>
          </w:tcPr>
          <w:p w14:paraId="22EB836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计费周期</w:t>
            </w:r>
          </w:p>
        </w:tc>
        <w:tc>
          <w:tcPr>
            <w:tcW w:w="2340" w:type="dxa"/>
            <w:vAlign w:val="center"/>
          </w:tcPr>
          <w:p w14:paraId="401C3C7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当期应付数额/元</w:t>
            </w:r>
          </w:p>
        </w:tc>
      </w:tr>
      <w:tr w14:paraId="5C80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740B25B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第一期</w:t>
            </w:r>
          </w:p>
        </w:tc>
        <w:tc>
          <w:tcPr>
            <w:tcW w:w="2763" w:type="dxa"/>
            <w:vAlign w:val="center"/>
          </w:tcPr>
          <w:p w14:paraId="6AB251A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 xml:space="preserve"> </w:t>
            </w:r>
          </w:p>
        </w:tc>
        <w:tc>
          <w:tcPr>
            <w:tcW w:w="2655" w:type="dxa"/>
            <w:vAlign w:val="center"/>
          </w:tcPr>
          <w:p w14:paraId="55F2E61B">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6272785E">
            <w:pPr>
              <w:adjustRightInd w:val="0"/>
              <w:snapToGrid w:val="0"/>
              <w:spacing w:line="560" w:lineRule="exact"/>
              <w:ind w:firstLine="640" w:firstLineChars="200"/>
              <w:rPr>
                <w:rFonts w:hint="eastAsia" w:ascii="仿宋_GB2312" w:hAnsi="仿宋" w:eastAsia="仿宋_GB2312"/>
                <w:sz w:val="32"/>
                <w:szCs w:val="32"/>
              </w:rPr>
            </w:pPr>
          </w:p>
        </w:tc>
      </w:tr>
      <w:tr w14:paraId="6E50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4B40F75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第二期</w:t>
            </w:r>
          </w:p>
        </w:tc>
        <w:tc>
          <w:tcPr>
            <w:tcW w:w="2763" w:type="dxa"/>
            <w:vAlign w:val="center"/>
          </w:tcPr>
          <w:p w14:paraId="165CEA9F">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05A18379">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203D64CB">
            <w:pPr>
              <w:adjustRightInd w:val="0"/>
              <w:snapToGrid w:val="0"/>
              <w:spacing w:line="560" w:lineRule="exact"/>
              <w:ind w:firstLine="640" w:firstLineChars="200"/>
              <w:rPr>
                <w:rFonts w:hint="eastAsia" w:ascii="仿宋_GB2312" w:hAnsi="仿宋" w:eastAsia="仿宋_GB2312"/>
                <w:sz w:val="32"/>
                <w:szCs w:val="32"/>
              </w:rPr>
            </w:pPr>
          </w:p>
        </w:tc>
      </w:tr>
      <w:tr w14:paraId="7C9F8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273" w:type="dxa"/>
            <w:vAlign w:val="center"/>
          </w:tcPr>
          <w:p w14:paraId="20DF722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第三期</w:t>
            </w:r>
          </w:p>
        </w:tc>
        <w:tc>
          <w:tcPr>
            <w:tcW w:w="2763" w:type="dxa"/>
            <w:vAlign w:val="center"/>
          </w:tcPr>
          <w:p w14:paraId="372C1D29">
            <w:pPr>
              <w:adjustRightInd w:val="0"/>
              <w:snapToGrid w:val="0"/>
              <w:spacing w:line="560" w:lineRule="exact"/>
              <w:ind w:firstLine="640" w:firstLineChars="200"/>
              <w:rPr>
                <w:rFonts w:hint="eastAsia" w:ascii="仿宋_GB2312" w:hAnsi="仿宋" w:eastAsia="仿宋_GB2312"/>
                <w:sz w:val="32"/>
                <w:szCs w:val="32"/>
              </w:rPr>
            </w:pPr>
          </w:p>
        </w:tc>
        <w:tc>
          <w:tcPr>
            <w:tcW w:w="2655" w:type="dxa"/>
            <w:vAlign w:val="center"/>
          </w:tcPr>
          <w:p w14:paraId="32678E8E">
            <w:pPr>
              <w:adjustRightInd w:val="0"/>
              <w:snapToGrid w:val="0"/>
              <w:spacing w:line="560" w:lineRule="exact"/>
              <w:ind w:firstLine="640" w:firstLineChars="200"/>
              <w:rPr>
                <w:rFonts w:hint="eastAsia" w:ascii="仿宋_GB2312" w:hAnsi="仿宋" w:eastAsia="仿宋_GB2312"/>
                <w:sz w:val="32"/>
                <w:szCs w:val="32"/>
              </w:rPr>
            </w:pPr>
          </w:p>
        </w:tc>
        <w:tc>
          <w:tcPr>
            <w:tcW w:w="2340" w:type="dxa"/>
            <w:vAlign w:val="center"/>
          </w:tcPr>
          <w:p w14:paraId="49D49D33">
            <w:pPr>
              <w:adjustRightInd w:val="0"/>
              <w:snapToGrid w:val="0"/>
              <w:spacing w:line="560" w:lineRule="exact"/>
              <w:ind w:firstLine="640" w:firstLineChars="200"/>
              <w:rPr>
                <w:rFonts w:hint="eastAsia" w:ascii="仿宋_GB2312" w:hAnsi="仿宋" w:eastAsia="仿宋_GB2312"/>
                <w:sz w:val="32"/>
                <w:szCs w:val="32"/>
              </w:rPr>
            </w:pPr>
          </w:p>
        </w:tc>
      </w:tr>
    </w:tbl>
    <w:p w14:paraId="105244B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3F2351D6">
      <w:pPr>
        <w:adjustRightInd w:val="0"/>
        <w:snapToGrid w:val="0"/>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sz w:val="32"/>
          <w:szCs w:val="32"/>
        </w:rPr>
        <w:t>单位名称：</w:t>
      </w:r>
      <w:r>
        <w:rPr>
          <w:rFonts w:hint="eastAsia" w:ascii="仿宋_GB2312" w:hAnsi="仿宋" w:eastAsia="仿宋_GB2312"/>
          <w:color w:val="000000"/>
          <w:sz w:val="32"/>
          <w:szCs w:val="32"/>
          <w:lang w:eastAsia="zh-CN"/>
        </w:rPr>
        <w:t>宁波市镇海区城市物流开发有限公司</w:t>
      </w:r>
      <w:r>
        <w:rPr>
          <w:rFonts w:hint="eastAsia" w:ascii="仿宋_GB2312" w:hAnsi="仿宋" w:eastAsia="仿宋_GB2312"/>
          <w:color w:val="000000"/>
          <w:sz w:val="32"/>
          <w:szCs w:val="32"/>
          <w:lang w:val="en-US" w:eastAsia="zh-CN"/>
        </w:rPr>
        <w:t xml:space="preserve"> </w:t>
      </w:r>
    </w:p>
    <w:p w14:paraId="49075668">
      <w:pPr>
        <w:adjustRightInd w:val="0"/>
        <w:snapToGrid w:val="0"/>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纳税人识别号：91330211717278480D</w:t>
      </w:r>
    </w:p>
    <w:p w14:paraId="398AC18D">
      <w:pPr>
        <w:adjustRightInd w:val="0"/>
        <w:snapToGrid w:val="0"/>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地址电话：镇海区招宝山街道平海路1188号86266308</w:t>
      </w:r>
    </w:p>
    <w:p w14:paraId="1B301C09">
      <w:pPr>
        <w:adjustRightInd w:val="0"/>
        <w:snapToGrid w:val="0"/>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 xml:space="preserve">开户银行：  </w:t>
      </w:r>
      <w:r>
        <w:rPr>
          <w:rFonts w:hint="eastAsia" w:ascii="仿宋_GB2312" w:hAnsi="仿宋" w:eastAsia="仿宋_GB2312"/>
          <w:color w:val="000000"/>
          <w:sz w:val="32"/>
          <w:szCs w:val="32"/>
          <w:lang w:val="en-US" w:eastAsia="zh-CN"/>
        </w:rPr>
        <w:t>中国建设银行宁波市镇海区支行</w:t>
      </w:r>
    </w:p>
    <w:p w14:paraId="1FB048A2">
      <w:pPr>
        <w:adjustRightInd w:val="0"/>
        <w:snapToGrid w:val="0"/>
        <w:spacing w:line="560" w:lineRule="exact"/>
        <w:ind w:firstLine="640" w:firstLineChars="200"/>
        <w:rPr>
          <w:rFonts w:hint="eastAsia" w:ascii="仿宋_GB2312" w:hAnsi="仿宋" w:eastAsia="仿宋_GB2312"/>
          <w:color w:val="000000"/>
          <w:sz w:val="32"/>
          <w:szCs w:val="32"/>
        </w:rPr>
      </w:pPr>
      <w:r>
        <w:rPr>
          <w:rFonts w:hint="eastAsia" w:ascii="仿宋_GB2312" w:hAnsi="仿宋" w:eastAsia="仿宋_GB2312"/>
          <w:color w:val="000000"/>
          <w:sz w:val="32"/>
          <w:szCs w:val="32"/>
        </w:rPr>
        <w:t>开户账号：</w:t>
      </w:r>
      <w:r>
        <w:rPr>
          <w:rFonts w:hint="eastAsia" w:ascii="仿宋_GB2312" w:hAnsi="仿宋" w:eastAsia="仿宋_GB2312"/>
          <w:color w:val="000000"/>
          <w:sz w:val="32"/>
          <w:szCs w:val="32"/>
          <w:lang w:val="en-US" w:eastAsia="zh-CN"/>
        </w:rPr>
        <w:t>33101984036050513724</w:t>
      </w:r>
    </w:p>
    <w:p w14:paraId="48DF2DA4">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乙方支付租金后，甲方应当向乙方提供正规税务发票（租金为含税价</w:t>
      </w:r>
      <w:r>
        <w:rPr>
          <w:rFonts w:ascii="仿宋_GB2312" w:hAnsi="仿宋" w:eastAsia="仿宋_GB2312"/>
          <w:sz w:val="32"/>
          <w:szCs w:val="32"/>
        </w:rPr>
        <w:t>）</w:t>
      </w:r>
      <w:r>
        <w:rPr>
          <w:rFonts w:hint="eastAsia" w:ascii="仿宋_GB2312" w:hAnsi="仿宋" w:eastAsia="仿宋_GB2312"/>
          <w:sz w:val="32"/>
          <w:szCs w:val="32"/>
        </w:rPr>
        <w:t xml:space="preserve"> 。</w:t>
      </w:r>
    </w:p>
    <w:p w14:paraId="34E6CEA9">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乙方开票信息：</w:t>
      </w:r>
    </w:p>
    <w:p w14:paraId="1592FA52">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公司名称：            </w:t>
      </w:r>
    </w:p>
    <w:p w14:paraId="4299D5DC">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地址：                </w:t>
      </w:r>
    </w:p>
    <w:p w14:paraId="22AE29FF">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联系电话：            </w:t>
      </w:r>
    </w:p>
    <w:p w14:paraId="0E8DE3A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开户银行：            </w:t>
      </w:r>
    </w:p>
    <w:p w14:paraId="7462F9C5">
      <w:pPr>
        <w:adjustRightInd w:val="0"/>
        <w:snapToGrid w:val="0"/>
        <w:spacing w:line="560" w:lineRule="exact"/>
        <w:ind w:firstLine="640" w:firstLineChars="200"/>
        <w:rPr>
          <w:rFonts w:hint="eastAsia" w:ascii="仿宋_GB2312" w:hAnsi="仿宋" w:eastAsia="仿宋_GB2312"/>
          <w:sz w:val="32"/>
          <w:szCs w:val="32"/>
          <w:u w:val="single"/>
        </w:rPr>
      </w:pPr>
      <w:r>
        <w:rPr>
          <w:rFonts w:hint="eastAsia" w:ascii="仿宋_GB2312" w:hAnsi="仿宋" w:eastAsia="仿宋_GB2312"/>
          <w:sz w:val="32"/>
          <w:szCs w:val="32"/>
          <w:u w:val="single"/>
        </w:rPr>
        <w:t xml:space="preserve">银行账号：            </w:t>
      </w:r>
    </w:p>
    <w:p w14:paraId="1414E9B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第六条 资产租赁期间的相关费用</w:t>
      </w:r>
    </w:p>
    <w:p w14:paraId="0155C6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52B87359">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租赁期间牵涉到的水、电、气、通讯、物业管理费、厂区出入口设置等一切经营费用以及出租使用期间的日常维修、维护、保养、扩容等一切费用等。</w:t>
      </w:r>
    </w:p>
    <w:p w14:paraId="092E051D">
      <w:pPr>
        <w:numPr>
          <w:ilvl w:val="0"/>
          <w:numId w:val="4"/>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其他与资产使用相关的税金或费用。</w:t>
      </w:r>
    </w:p>
    <w:p w14:paraId="4586D81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（二）乙方应对经营活动产生的噪音、废水、废气进行妥善处理，不得为此影响周边居民和单位的正常工作、生活，因此造成的一切损失和责任均由乙方承担。</w:t>
      </w:r>
    </w:p>
    <w:p w14:paraId="611BD64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第七条 甲方的权利与义务</w:t>
      </w:r>
    </w:p>
    <w:p w14:paraId="03F8FE73">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租赁期间，因政策性拆迁或不可抗力（指不可预见、不能避免、不能克服的客观情况）等特殊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由甲方享有，但法律、法规规定应当由乙方享有的除外。</w:t>
      </w:r>
    </w:p>
    <w:p w14:paraId="02463748">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ascii="仿宋_GB2312" w:hAnsi="仿宋" w:eastAsia="仿宋_GB2312"/>
          <w:sz w:val="32"/>
          <w:szCs w:val="32"/>
        </w:rPr>
        <w:t>并</w:t>
      </w:r>
      <w:r>
        <w:rPr>
          <w:rFonts w:hint="eastAsia" w:ascii="仿宋_GB2312" w:hAnsi="仿宋" w:eastAsia="仿宋_GB2312"/>
          <w:sz w:val="32"/>
          <w:szCs w:val="32"/>
        </w:rPr>
        <w:t>要求乙方承担该年度租金30%的违约金</w:t>
      </w:r>
      <w:r>
        <w:rPr>
          <w:rFonts w:ascii="仿宋_GB2312" w:hAnsi="仿宋" w:eastAsia="仿宋_GB2312"/>
          <w:sz w:val="32"/>
          <w:szCs w:val="32"/>
        </w:rPr>
        <w:t>，</w:t>
      </w:r>
      <w:r>
        <w:rPr>
          <w:rFonts w:hint="eastAsia" w:ascii="仿宋_GB2312" w:hAnsi="仿宋" w:eastAsia="仿宋_GB2312"/>
          <w:sz w:val="32"/>
          <w:szCs w:val="32"/>
        </w:rPr>
        <w:t>收回租赁资产，由此产生的一切损失由乙方承担。</w:t>
      </w:r>
    </w:p>
    <w:p w14:paraId="2D7F2237">
      <w:pPr>
        <w:numPr>
          <w:ilvl w:val="0"/>
          <w:numId w:val="5"/>
        </w:numPr>
        <w:adjustRightInd w:val="0"/>
        <w:snapToGrid w:val="0"/>
        <w:spacing w:line="560" w:lineRule="exact"/>
        <w:ind w:left="-10" w:firstLine="640" w:firstLineChars="0"/>
        <w:rPr>
          <w:rFonts w:hint="eastAsia" w:ascii="仿宋_GB2312" w:hAnsi="仿宋" w:eastAsia="仿宋_GB2312"/>
          <w:sz w:val="32"/>
          <w:szCs w:val="32"/>
        </w:rPr>
      </w:pPr>
      <w:r>
        <w:rPr>
          <w:rFonts w:hint="eastAsia" w:ascii="仿宋_GB2312" w:hAnsi="仿宋" w:eastAsia="仿宋_GB2312"/>
          <w:sz w:val="32"/>
          <w:szCs w:val="32"/>
        </w:rPr>
        <w:t>甲方因企业发展等需要有权随时收回租赁资产且无需承担任何违约责任，租金按日计算至乙方实际腾退之日，多退少补</w:t>
      </w:r>
      <w:r>
        <w:rPr>
          <w:rFonts w:hint="eastAsia" w:ascii="仿宋_GB2312" w:hAnsi="仿宋" w:eastAsia="仿宋_GB2312"/>
          <w:sz w:val="32"/>
          <w:szCs w:val="32"/>
          <w:lang w:val="en-US" w:eastAsia="zh-CN"/>
        </w:rPr>
        <w:t>.</w:t>
      </w:r>
    </w:p>
    <w:p w14:paraId="5AC36CCB">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第八条 乙方的权利与义务</w:t>
      </w:r>
    </w:p>
    <w:p w14:paraId="163184F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一切后果。乙方经营所涉事项与甲方无关。（附出租资产安全协议）</w:t>
      </w:r>
    </w:p>
    <w:p w14:paraId="04C69A5A">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必须保持租赁资产整体结构不受破坏，不得擅自拆改结构或改变用途，否则造成的一切损失由乙方承担。未经甲方书面同意，乙方不得擅自装修或搭建临时建筑物，按规定须向有关部门审批的，则还应由甲方报请有关部门批准后，方可进行，产生的装修费由乙方自行承担。租赁期满或合同提前终止时，除可以移动的动产外，其他已形成添附的装饰装修物无偿归甲方所有，乙方亦不得拆除，甲方不对此作任何补偿。乙方增设的可活动的物品、设备等，由乙方自行处理，并承担相应费用。</w:t>
      </w:r>
    </w:p>
    <w:p w14:paraId="3856E0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租赁期满或合同提前终止时，若乙方改变原甲方交付时租赁资产现状的，乙方交还租赁资产时应按甲方要求无条件恢复原状，并承担相应费用。</w:t>
      </w:r>
    </w:p>
    <w:p w14:paraId="521C1F06">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未经甲方书面同意，乙方不得擅自直接或变相全部或部分转租、转让、转借或与第三方互换使用租赁资产，不得将所租资产作任何形式的抵押或担保，由此造成的一切损失由乙方承担。</w:t>
      </w:r>
    </w:p>
    <w:p w14:paraId="7E5A29EB">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租赁资产及附属物品、设备设施等维修养护及费用由乙方负责。因乙方保管不当、不合理使用或未及时维修，致使租赁资产及其附属物品、设备设施等发生损坏或故障的，乙方应负责维修，如无法维修应按照相关市场价承担赔偿责任。</w:t>
      </w:r>
    </w:p>
    <w:p w14:paraId="1BDF0917">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乙方在经营过程中，由于乙方原因造成第三人财产损失、人身损害或其他侵权情形的，由乙方自行承担一切损失和责任，若甲方因此遭受损失的，乙方还应承担赔偿责任。</w:t>
      </w:r>
    </w:p>
    <w:p w14:paraId="566C7E03">
      <w:pPr>
        <w:numPr>
          <w:ilvl w:val="0"/>
          <w:numId w:val="6"/>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租赁期间，乙方应负责做好消防、安全、卫生等工作，甲方有权予以督促。由于乙方消防治安等责任不到位，措施不落实等原因，导致经济损失或人员伤亡的，由乙方承担一切责任和损失。</w:t>
      </w:r>
    </w:p>
    <w:p w14:paraId="1B2B1DF2">
      <w:pPr>
        <w:numPr>
          <w:ilvl w:val="0"/>
          <w:numId w:val="6"/>
        </w:num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w:t>
      </w:r>
      <w:r>
        <w:rPr>
          <w:rFonts w:hint="eastAsia" w:ascii="仿宋_GB2312" w:hAnsi="仿宋" w:eastAsia="仿宋_GB2312"/>
          <w:color w:val="auto"/>
          <w:sz w:val="32"/>
          <w:szCs w:val="32"/>
        </w:rPr>
        <w:t>议生效之日起，保密义务不因协议有效期的终止而结束。</w:t>
      </w:r>
    </w:p>
    <w:p w14:paraId="6028931F">
      <w:pPr>
        <w:adjustRightInd w:val="0"/>
        <w:snapToGrid w:val="0"/>
        <w:spacing w:line="560" w:lineRule="exact"/>
        <w:ind w:firstLine="640" w:firstLineChars="200"/>
        <w:rPr>
          <w:rFonts w:hint="eastAsia" w:ascii="仿宋_GB2312" w:hAnsi="仿宋" w:eastAsia="仿宋_GB2312"/>
          <w:color w:val="auto"/>
          <w:sz w:val="32"/>
          <w:szCs w:val="32"/>
        </w:rPr>
      </w:pPr>
      <w:r>
        <w:rPr>
          <w:rFonts w:hint="eastAsia" w:ascii="仿宋_GB2312" w:hAnsi="仿宋" w:eastAsia="仿宋_GB2312"/>
          <w:color w:val="auto"/>
          <w:sz w:val="32"/>
          <w:szCs w:val="32"/>
        </w:rPr>
        <w:t>（九）乙方若要终止租赁关系，须提前叁个月书面通知甲方，租金按日计算至乙方实际腾退之日，多退少补。未提前三个月告知的</w:t>
      </w:r>
      <w:r>
        <w:rPr>
          <w:rFonts w:hint="eastAsia" w:ascii="仿宋_GB2312" w:hAnsi="仿宋" w:eastAsia="仿宋_GB2312"/>
          <w:color w:val="auto"/>
          <w:sz w:val="32"/>
          <w:szCs w:val="32"/>
          <w:lang w:val="en-US" w:eastAsia="zh-CN"/>
        </w:rPr>
        <w:t>乙方应按照第十条第（二）款约定承担责任</w:t>
      </w:r>
      <w:r>
        <w:rPr>
          <w:rFonts w:hint="eastAsia" w:ascii="仿宋_GB2312" w:hAnsi="仿宋" w:eastAsia="仿宋_GB2312"/>
          <w:color w:val="auto"/>
          <w:sz w:val="32"/>
          <w:szCs w:val="32"/>
        </w:rPr>
        <w:t>。</w:t>
      </w:r>
    </w:p>
    <w:p w14:paraId="0FA0EDAC">
      <w:pPr>
        <w:adjustRightInd w:val="0"/>
        <w:snapToGrid w:val="0"/>
        <w:spacing w:line="560" w:lineRule="exact"/>
        <w:rPr>
          <w:rFonts w:hint="eastAsia" w:ascii="黑体" w:hAnsi="黑体" w:eastAsia="黑体"/>
          <w:bCs/>
          <w:color w:val="auto"/>
          <w:sz w:val="32"/>
          <w:szCs w:val="32"/>
        </w:rPr>
      </w:pPr>
      <w:r>
        <w:rPr>
          <w:rFonts w:hint="eastAsia" w:ascii="黑体" w:hAnsi="黑体" w:eastAsia="黑体"/>
          <w:bCs/>
          <w:color w:val="auto"/>
          <w:sz w:val="32"/>
          <w:szCs w:val="32"/>
        </w:rPr>
        <w:t>第九条 租赁期满</w:t>
      </w:r>
    </w:p>
    <w:p w14:paraId="0F976BE3">
      <w:pPr>
        <w:numPr>
          <w:ilvl w:val="0"/>
          <w:numId w:val="7"/>
        </w:numPr>
        <w:adjustRightInd w:val="0"/>
        <w:snapToGrid w:val="0"/>
        <w:spacing w:line="560" w:lineRule="exact"/>
        <w:ind w:firstLine="640" w:firstLineChars="200"/>
        <w:rPr>
          <w:rFonts w:ascii="仿宋_GB2312" w:hAnsi="仿宋" w:eastAsia="仿宋_GB2312"/>
          <w:color w:val="auto"/>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（或双方协商确定的合理期限内）完成腾退，向甲方归还租赁资产（以房屋移交确认书为准）并通过甲方验收</w:t>
      </w:r>
      <w:r>
        <w:rPr>
          <w:rFonts w:ascii="仿宋_GB2312" w:hAnsi="仿宋" w:eastAsia="仿宋_GB2312"/>
          <w:sz w:val="32"/>
          <w:szCs w:val="32"/>
        </w:rPr>
        <w:t>，</w:t>
      </w:r>
      <w:r>
        <w:rPr>
          <w:rFonts w:hint="eastAsia" w:ascii="仿宋_GB2312" w:hAnsi="仿宋" w:eastAsia="仿宋_GB2312"/>
          <w:sz w:val="32"/>
          <w:szCs w:val="32"/>
        </w:rPr>
        <w:t>否则，甲方可采用停水、停电等强制性措施；如</w:t>
      </w:r>
      <w:r>
        <w:rPr>
          <w:rFonts w:ascii="仿宋_GB2312" w:hAnsi="仿宋" w:eastAsia="仿宋_GB2312"/>
          <w:sz w:val="32"/>
          <w:szCs w:val="32"/>
        </w:rPr>
        <w:t>逾期未腾退</w:t>
      </w:r>
      <w:r>
        <w:rPr>
          <w:rFonts w:hint="eastAsia" w:ascii="仿宋_GB2312" w:hAnsi="仿宋" w:eastAsia="仿宋_GB2312"/>
          <w:sz w:val="32"/>
          <w:szCs w:val="32"/>
        </w:rPr>
        <w:t>，</w:t>
      </w:r>
      <w:r>
        <w:rPr>
          <w:rFonts w:hint="eastAsia" w:ascii="仿宋_GB2312" w:hAnsi="仿宋" w:eastAsia="仿宋_GB2312"/>
          <w:sz w:val="32"/>
          <w:szCs w:val="32"/>
          <w:lang w:val="en-US" w:eastAsia="zh-CN"/>
        </w:rPr>
        <w:t>乙方应按第十条约定承担违约责任，且</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rPr>
        <w:t>，处置费用由乙方自行承担。</w:t>
      </w:r>
    </w:p>
    <w:p w14:paraId="2BCA980F">
      <w:pPr>
        <w:numPr>
          <w:ilvl w:val="0"/>
          <w:numId w:val="7"/>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color w:val="000000"/>
          <w:sz w:val="32"/>
          <w:szCs w:val="32"/>
        </w:rPr>
        <w:t>租赁期满后，</w:t>
      </w:r>
      <w:r>
        <w:rPr>
          <w:rFonts w:hint="eastAsia" w:ascii="仿宋_GB2312" w:hAnsi="仿宋" w:eastAsia="仿宋_GB2312"/>
          <w:sz w:val="32"/>
          <w:szCs w:val="32"/>
        </w:rPr>
        <w:t>如乙方要求继续租赁且在甲方继续公开招租时符合招租条件的，乙方在同等条件下享有优先承租权，但乙方须在合同到期日叁个月前书面告知甲方，并按要求办理招租登记手续, 否则视为放弃优先承租权。</w:t>
      </w:r>
    </w:p>
    <w:p w14:paraId="1638303F">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第十条 违约责任</w:t>
      </w:r>
    </w:p>
    <w:p w14:paraId="049FAE97">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（一）乙方应按期缴纳租金及其他各项费用，如逾期交纳租金及其他各项费用的，每逾期一日，按该年度租金的</w:t>
      </w:r>
      <w:r>
        <w:rPr>
          <w:rFonts w:hint="eastAsia" w:ascii="仿宋_GB2312" w:hAnsi="仿宋" w:eastAsia="仿宋_GB2312"/>
          <w:sz w:val="32"/>
          <w:szCs w:val="32"/>
          <w:lang w:val="en-US" w:eastAsia="zh-CN"/>
        </w:rPr>
        <w:t>万</w:t>
      </w:r>
      <w:r>
        <w:rPr>
          <w:rFonts w:hint="eastAsia" w:ascii="仿宋_GB2312" w:hAnsi="仿宋" w:eastAsia="仿宋_GB2312"/>
          <w:sz w:val="32"/>
          <w:szCs w:val="32"/>
        </w:rPr>
        <w:t>分之五向甲方支付违约金，逾期超过15个工作日的，甲方有权立即终止合同、不退还乙方剩余租金、没收乙方全部履约保证金、采取停水停电措施并要求乙方按照该年度租金的30%支付违约金，如给甲方造成实际损失的，乙方还应承担赔偿责任。</w:t>
      </w:r>
    </w:p>
    <w:p w14:paraId="7CF9983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E5078A1">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D572CA5">
      <w:pPr>
        <w:adjustRightInd w:val="0"/>
        <w:snapToGrid w:val="0"/>
        <w:spacing w:line="560" w:lineRule="exact"/>
        <w:ind w:firstLine="640" w:firstLineChars="200"/>
        <w:rPr>
          <w:rFonts w:hint="eastAsia" w:ascii="仿宋_GB2312" w:hAnsi="仿宋" w:eastAsia="仿宋_GB2312"/>
          <w:color w:val="000000"/>
          <w:sz w:val="32"/>
          <w:szCs w:val="32"/>
          <w:lang w:eastAsia="zh-CN"/>
        </w:rPr>
      </w:pPr>
      <w:r>
        <w:rPr>
          <w:rFonts w:hint="eastAsia" w:ascii="仿宋_GB2312" w:hAnsi="仿宋" w:eastAsia="仿宋_GB2312"/>
          <w:sz w:val="32"/>
          <w:szCs w:val="32"/>
        </w:rPr>
        <w:t>（四）</w:t>
      </w:r>
      <w:r>
        <w:rPr>
          <w:rFonts w:hint="eastAsia" w:ascii="仿宋_GB2312" w:hAnsi="仿宋" w:eastAsia="仿宋_GB2312"/>
          <w:color w:val="000000"/>
          <w:sz w:val="32"/>
          <w:szCs w:val="32"/>
        </w:rPr>
        <w:t>返还租赁资产时,乙方应将房屋打扫干净,清理屋内垃圾及杂物，并按甲方要求无条件恢复原状,否则视为乙方违约，甲方有权拒绝接收租赁资产并要求乙方按照该年度租金的10%支付违约金，如给甲方造成实际损失的，乙方还应承担赔偿责任</w:t>
      </w:r>
      <w:r>
        <w:rPr>
          <w:rFonts w:hint="eastAsia" w:ascii="仿宋_GB2312" w:hAnsi="仿宋" w:eastAsia="仿宋_GB2312"/>
          <w:color w:val="000000"/>
          <w:sz w:val="32"/>
          <w:szCs w:val="32"/>
          <w:lang w:eastAsia="zh-CN"/>
        </w:rPr>
        <w:t>。</w:t>
      </w:r>
    </w:p>
    <w:p w14:paraId="41F01B97">
      <w:pPr>
        <w:adjustRightInd w:val="0"/>
        <w:snapToGrid w:val="0"/>
        <w:spacing w:line="560" w:lineRule="exact"/>
        <w:ind w:firstLine="640" w:firstLineChars="200"/>
        <w:jc w:val="both"/>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rPr>
        <w:t>）因乙方保管不当、不合理使用或未及时维修的,致使房屋(土地)及其附属物品、设备设施发生损坏或故障的,乙方应负责维修，如无法维修应按照设备设施的市场价承担赔偿责任，乙方拒不修复或赔偿的，甲方有权解除合同、不退还乙方剩余租金、没收乙方全部履约保证金，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335F4E7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六</w:t>
      </w:r>
      <w:r>
        <w:rPr>
          <w:rFonts w:hint="eastAsia" w:ascii="仿宋_GB2312" w:hAnsi="仿宋" w:eastAsia="仿宋_GB2312"/>
          <w:sz w:val="32"/>
          <w:szCs w:val="32"/>
        </w:rPr>
        <w:t>）因乙方违约，甲方为追索赔偿而支付的律师费、公证费、保全费、担保费和差旅费等费用均由乙方承担。</w:t>
      </w:r>
    </w:p>
    <w:p w14:paraId="6A52FB0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七</w:t>
      </w:r>
      <w:r>
        <w:rPr>
          <w:rFonts w:hint="eastAsia" w:ascii="仿宋_GB2312" w:hAnsi="仿宋" w:eastAsia="仿宋_GB2312"/>
          <w:sz w:val="32"/>
          <w:szCs w:val="32"/>
        </w:rPr>
        <w:t>）在合同有效期内，如遇到不可抗力因素，致使合同无法履行，双方互不承担责任，所产生的经济损失由双方各自承担，如遇租赁资产拆迁、征用等政府行为的，一方无须向另一方承担违约责任或赔偿责任。</w:t>
      </w:r>
    </w:p>
    <w:p w14:paraId="0C764CA3">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（九）租赁期内或者乙方实际占用期间，乙方存在违约行为，经甲方事先通知乙方后拒不纠正或合理期限内未予纠正的，甲方有权采取停水停电等形式，直至乙方纠正其违约行为，而无需向乙方承担任何责任。</w:t>
      </w:r>
    </w:p>
    <w:p w14:paraId="3166C90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支付违约</w:t>
      </w:r>
      <w:r>
        <w:rPr>
          <w:rFonts w:hint="eastAsia" w:ascii="仿宋_GB2312" w:hAnsi="仿宋" w:eastAsia="仿宋_GB2312"/>
          <w:color w:val="000000"/>
          <w:sz w:val="32"/>
          <w:szCs w:val="32"/>
        </w:rPr>
        <w:t>金</w:t>
      </w:r>
      <w:r>
        <w:rPr>
          <w:rFonts w:hint="eastAsia" w:ascii="仿宋_GB2312" w:hAnsi="仿宋" w:eastAsia="仿宋_GB2312"/>
          <w:color w:val="000000"/>
          <w:sz w:val="32"/>
          <w:szCs w:val="32"/>
          <w:u w:val="single"/>
        </w:rPr>
        <w:t>/</w:t>
      </w:r>
      <w:r>
        <w:rPr>
          <w:rFonts w:hint="eastAsia" w:ascii="仿宋_GB2312" w:hAnsi="仿宋" w:eastAsia="仿宋_GB2312"/>
          <w:sz w:val="32"/>
          <w:szCs w:val="32"/>
        </w:rPr>
        <w:t>万元、采取停水停电措施至乙方同意按约履行或整改时止等措施。乙方应当按照本合同约定或者告知书约定承担违约责任。</w:t>
      </w:r>
    </w:p>
    <w:p w14:paraId="4F3BEEA2">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第十一条 争议处理方式</w:t>
      </w:r>
    </w:p>
    <w:p w14:paraId="493EA0CE">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02ABE48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176A6217">
      <w:pPr>
        <w:adjustRightInd w:val="0"/>
        <w:snapToGrid w:val="0"/>
        <w:spacing w:line="560" w:lineRule="exact"/>
        <w:ind w:firstLine="320" w:firstLineChars="100"/>
        <w:rPr>
          <w:rFonts w:hint="eastAsia"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6741C06E">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60803604">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对于本合同未尽事项，双方可另行签订补充协议，补充协议作为本合同的附件，具有同等法律效力。</w:t>
      </w:r>
    </w:p>
    <w:p w14:paraId="31A53389">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本合同须经甲乙双方签字并盖章后生效。</w:t>
      </w:r>
    </w:p>
    <w:p w14:paraId="29B6E0D1">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67DB87CB">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6BF556BA">
      <w:pPr>
        <w:numPr>
          <w:ilvl w:val="0"/>
          <w:numId w:val="8"/>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本合同一式肆份，甲乙双方各执贰份，均具有同等的法律效力。</w:t>
      </w:r>
    </w:p>
    <w:p w14:paraId="3E0D118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附件：1.出租资产权证证明</w:t>
      </w:r>
    </w:p>
    <w:p w14:paraId="16677BAF">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2.出租资产安全协议</w:t>
      </w:r>
    </w:p>
    <w:p w14:paraId="1B00AF29">
      <w:pPr>
        <w:adjustRightInd w:val="0"/>
        <w:snapToGrid w:val="0"/>
        <w:spacing w:line="560" w:lineRule="exact"/>
        <w:ind w:firstLine="1600" w:firstLineChars="500"/>
        <w:rPr>
          <w:rFonts w:hint="eastAsia" w:ascii="仿宋_GB2312" w:hAnsi="仿宋" w:eastAsia="仿宋_GB2312"/>
          <w:sz w:val="32"/>
          <w:szCs w:val="32"/>
        </w:rPr>
      </w:pPr>
      <w:r>
        <w:rPr>
          <w:rFonts w:hint="eastAsia" w:ascii="仿宋_GB2312" w:hAnsi="仿宋" w:eastAsia="仿宋_GB2312"/>
          <w:sz w:val="32"/>
          <w:szCs w:val="32"/>
        </w:rPr>
        <w:t>3.乙方（法人代表）身份证复印件、营业执照复印件</w:t>
      </w:r>
    </w:p>
    <w:p w14:paraId="044C6F6C">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甲方签字(盖章)：              乙方签字(盖章)：</w:t>
      </w:r>
    </w:p>
    <w:p w14:paraId="035B2634">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法定代表人：                  法定代表人：</w:t>
      </w:r>
    </w:p>
    <w:p w14:paraId="5AD5538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签订地址：                    签订地址：</w:t>
      </w:r>
    </w:p>
    <w:p w14:paraId="44F37768">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联系电话：                    联系电话：</w:t>
      </w:r>
    </w:p>
    <w:p w14:paraId="4B389E2F">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委托代理人：                  委托代理人：</w:t>
      </w:r>
    </w:p>
    <w:p w14:paraId="56193CE7">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身份证号码：                  身份证号码：</w:t>
      </w:r>
    </w:p>
    <w:p w14:paraId="21423CDE">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年  月  日                    年  月  日</w:t>
      </w:r>
    </w:p>
    <w:p w14:paraId="0525C70D">
      <w:pPr>
        <w:adjustRightInd w:val="0"/>
        <w:snapToGrid w:val="0"/>
        <w:spacing w:line="560" w:lineRule="exact"/>
        <w:ind w:firstLine="1280" w:firstLineChars="400"/>
        <w:rPr>
          <w:rFonts w:hint="eastAsia" w:ascii="仿宋_GB2312" w:hAnsi="仿宋" w:eastAsia="仿宋_GB2312"/>
          <w:sz w:val="32"/>
          <w:szCs w:val="32"/>
        </w:rPr>
      </w:pPr>
    </w:p>
    <w:p w14:paraId="1551EC42">
      <w:pPr>
        <w:widowControl/>
        <w:spacing w:line="560" w:lineRule="exact"/>
        <w:jc w:val="center"/>
        <w:rPr>
          <w:rFonts w:hint="eastAsia" w:ascii="方正小标宋简体" w:hAnsi="方正小标宋简体" w:eastAsia="方正小标宋简体" w:cs="方正小标宋简体"/>
          <w:sz w:val="44"/>
          <w:szCs w:val="44"/>
        </w:rPr>
      </w:pPr>
      <w:r>
        <w:rPr>
          <w:rFonts w:hint="eastAsia" w:ascii="仿宋_GB2312" w:hAnsi="仿宋_GB2312" w:eastAsia="仿宋_GB2312" w:cs="仿宋_GB2312"/>
          <w:sz w:val="32"/>
          <w:szCs w:val="32"/>
        </w:rPr>
        <w:t xml:space="preserve"> </w:t>
      </w:r>
      <w:r>
        <w:rPr>
          <w:rFonts w:ascii="仿宋" w:hAnsi="仿宋" w:eastAsia="仿宋" w:cs="仿宋"/>
          <w:sz w:val="32"/>
          <w:szCs w:val="32"/>
        </w:rPr>
        <w:br w:type="page"/>
      </w:r>
      <w:r>
        <w:rPr>
          <w:rFonts w:hint="eastAsia" w:ascii="方正小标宋简体" w:hAnsi="方正小标宋简体" w:eastAsia="方正小标宋简体" w:cs="方正小标宋简体"/>
          <w:sz w:val="44"/>
          <w:szCs w:val="44"/>
        </w:rPr>
        <w:t>出租资产安全协议</w:t>
      </w:r>
    </w:p>
    <w:p w14:paraId="02E14BBD">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出租方： </w:t>
      </w:r>
    </w:p>
    <w:p w14:paraId="18234823">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1C931C38">
      <w:pPr>
        <w:widowControl/>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52AE4EFC">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一、安全责任</w:t>
      </w:r>
    </w:p>
    <w:p w14:paraId="0418EDB2">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房屋（土地）承租方是所租赁房屋（土地）的安全全权责任人，负责该房屋（土地）及附属设施的安全责任。</w:t>
      </w:r>
    </w:p>
    <w:p w14:paraId="4B637877">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二、安全责任内容</w:t>
      </w:r>
    </w:p>
    <w:p w14:paraId="42114CE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2CC08520">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（二）加强消防安全教育，提高消防安全常识。承租方必须按消防规定配足配齐灭火器材，懂得消防防火知识并会操作使用消防器材，消防设备必须有专人负责管理，提高自防自救能力。</w:t>
      </w:r>
    </w:p>
    <w:p w14:paraId="70BFE77A">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（三）保证安全通道畅通，严禁封闭、堵塞安全通道。餐饮业人员活动区域严禁存放易燃、可燃物品，不得存放易燃、易爆和有毒物品。</w:t>
      </w:r>
    </w:p>
    <w:p w14:paraId="0D201EC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（四）用电线路安装必须规范，应使用国标电线及材料。严禁一线多用及乱接乱拉现象，定期检查线路安全情况，用电线路距离明火不得少于1.5米。</w:t>
      </w:r>
    </w:p>
    <w:p w14:paraId="24493154">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（五）必须具备应有的工商、税务、卫生、防疫和公安机关等相关手续；经营餐饮业必须持有营业执照、健康证明、卫生许可证、特行证等相关证照。</w:t>
      </w:r>
    </w:p>
    <w:p w14:paraId="26F61B1D">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A7AF8D5">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发生一般事故两起的，支付违约金十万元；两起以上每增加一起另支付十万元。</w:t>
      </w:r>
    </w:p>
    <w:p w14:paraId="6AA8E04A">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2.发生较大事故的，支付违约金三十万元；每增加一起另支付三十万元。</w:t>
      </w:r>
    </w:p>
    <w:p w14:paraId="6BB159B6">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3.发生重大事故的，支付违约金七十万元；每增加一起另支付七十万元。</w:t>
      </w:r>
    </w:p>
    <w:p w14:paraId="0DCB8B5D">
      <w:pPr>
        <w:adjustRightInd w:val="0"/>
        <w:snapToGrid w:val="0"/>
        <w:spacing w:line="560" w:lineRule="exact"/>
        <w:ind w:firstLine="640" w:firstLineChars="200"/>
        <w:rPr>
          <w:rFonts w:hint="eastAsia" w:ascii="仿宋_GB2312" w:hAnsi="仿宋" w:eastAsia="仿宋_GB2312"/>
          <w:sz w:val="32"/>
          <w:szCs w:val="32"/>
        </w:rPr>
      </w:pPr>
      <w:r>
        <w:rPr>
          <w:rFonts w:ascii="仿宋_GB2312" w:hAnsi="仿宋" w:eastAsia="仿宋_GB2312"/>
          <w:sz w:val="32"/>
          <w:szCs w:val="32"/>
        </w:rPr>
        <w:t>4.发生特别重大事故的，支付违约金一百五十万元。每增加一起另支付一百五十万元。</w:t>
      </w:r>
    </w:p>
    <w:p w14:paraId="54AE2628">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且任意一项安全生产目标被突破甲方均有权解除租赁合同，并由乙方根据租赁合同的约定承担合同解除的对应责任。</w:t>
      </w:r>
    </w:p>
    <w:p w14:paraId="37FAAF4A">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三、其他</w:t>
      </w:r>
    </w:p>
    <w:p w14:paraId="27236CCC">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《出租资产安全协议》与《房屋（土地）租赁合同》具有同等效力，《出租资产安全协议》一式两份，出租方、承租方各一份。</w:t>
      </w:r>
    </w:p>
    <w:p w14:paraId="15118975">
      <w:pPr>
        <w:adjustRightInd w:val="0"/>
        <w:snapToGrid w:val="0"/>
        <w:spacing w:line="560" w:lineRule="exact"/>
        <w:ind w:firstLine="640" w:firstLineChars="200"/>
        <w:rPr>
          <w:rFonts w:hint="eastAsia" w:ascii="仿宋_GB2312" w:hAnsi="仿宋" w:eastAsia="仿宋_GB2312"/>
          <w:sz w:val="32"/>
          <w:szCs w:val="32"/>
        </w:rPr>
      </w:pPr>
    </w:p>
    <w:p w14:paraId="5CD2FB95">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出租方：                             承租方：</w:t>
      </w:r>
    </w:p>
    <w:p w14:paraId="250A782B">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（盖章）                            （盖章）</w:t>
      </w:r>
    </w:p>
    <w:p w14:paraId="1DB0D8D3">
      <w:pPr>
        <w:adjustRightInd w:val="0"/>
        <w:snapToGrid w:val="0"/>
        <w:spacing w:line="560" w:lineRule="exact"/>
        <w:rPr>
          <w:rFonts w:hint="eastAsia" w:ascii="仿宋" w:hAnsi="仿宋" w:eastAsia="仿宋" w:cs="仿宋"/>
          <w:sz w:val="28"/>
          <w:szCs w:val="28"/>
        </w:rPr>
      </w:pPr>
      <w:r>
        <w:rPr>
          <w:rFonts w:hint="eastAsia" w:ascii="仿宋_GB2312" w:hAnsi="仿宋" w:eastAsia="仿宋_GB2312"/>
          <w:sz w:val="32"/>
          <w:szCs w:val="32"/>
        </w:rPr>
        <w:t xml:space="preserve">       年   月    日                     年   月    日</w:t>
      </w:r>
    </w:p>
    <w:p w14:paraId="247AC9E8">
      <w:pPr>
        <w:pStyle w:val="17"/>
        <w:spacing w:line="560" w:lineRule="exact"/>
        <w:rPr>
          <w:rFonts w:hint="eastAsia" w:ascii="仿宋_GB2312" w:hAnsi="仿宋_GB2312" w:eastAsia="仿宋_GB2312" w:cs="仿宋_GB2312"/>
          <w:sz w:val="32"/>
          <w:szCs w:val="32"/>
        </w:rPr>
      </w:pPr>
    </w:p>
    <w:p w14:paraId="15A0860D">
      <w:pPr>
        <w:rPr>
          <w:rFonts w:hint="eastAsia" w:ascii="黑体" w:hAnsi="黑体" w:eastAsia="黑体" w:cs="黑体"/>
          <w:b/>
          <w:bCs/>
          <w:sz w:val="30"/>
          <w:szCs w:val="30"/>
        </w:rPr>
      </w:pPr>
    </w:p>
    <w:p w14:paraId="190E8470">
      <w:pPr>
        <w:rPr>
          <w:rFonts w:hint="eastAsia" w:ascii="黑体" w:hAnsi="黑体" w:eastAsia="黑体" w:cs="黑体"/>
          <w:b/>
          <w:bCs/>
          <w:sz w:val="30"/>
          <w:szCs w:val="30"/>
          <w:lang w:val="en-US" w:eastAsia="zh-CN"/>
        </w:rPr>
      </w:pPr>
    </w:p>
    <w:p w14:paraId="7EBB2BF1">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WPSEMBED1">
    <w:panose1 w:val="02000000000000000000"/>
    <w:charset w:val="86"/>
    <w:family w:val="auto"/>
    <w:pitch w:val="default"/>
    <w:sig w:usb0="00000001" w:usb1="08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1C1BE68C"/>
    <w:multiLevelType w:val="singleLevel"/>
    <w:tmpl w:val="1C1BE68C"/>
    <w:lvl w:ilvl="0" w:tentative="0">
      <w:start w:val="1"/>
      <w:numFmt w:val="decimal"/>
      <w:suff w:val="nothing"/>
      <w:lvlText w:val="%1、"/>
      <w:lvlJc w:val="left"/>
    </w:lvl>
  </w:abstractNum>
  <w:abstractNum w:abstractNumId="4">
    <w:nsid w:val="24808933"/>
    <w:multiLevelType w:val="singleLevel"/>
    <w:tmpl w:val="24808933"/>
    <w:lvl w:ilvl="0" w:tentative="0">
      <w:start w:val="1"/>
      <w:numFmt w:val="chineseCounting"/>
      <w:suff w:val="nothing"/>
      <w:lvlText w:val="（%1）"/>
      <w:lvlJc w:val="left"/>
      <w:rPr>
        <w:rFonts w:hint="eastAsia"/>
        <w:strike w:val="0"/>
      </w:rPr>
    </w:lvl>
  </w:abstractNum>
  <w:abstractNum w:abstractNumId="5">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6">
    <w:nsid w:val="51BD9309"/>
    <w:multiLevelType w:val="singleLevel"/>
    <w:tmpl w:val="51BD9309"/>
    <w:lvl w:ilvl="0" w:tentative="0">
      <w:start w:val="3"/>
      <w:numFmt w:val="chineseCounting"/>
      <w:suff w:val="nothing"/>
      <w:lvlText w:val="（%1）"/>
      <w:lvlJc w:val="left"/>
      <w:rPr>
        <w:rFonts w:hint="eastAsia"/>
      </w:rPr>
    </w:lvl>
  </w:abstractNum>
  <w:abstractNum w:abstractNumId="7">
    <w:nsid w:val="54EB6FFE"/>
    <w:multiLevelType w:val="singleLevel"/>
    <w:tmpl w:val="54EB6FFE"/>
    <w:lvl w:ilvl="0" w:tentative="0">
      <w:start w:val="1"/>
      <w:numFmt w:val="chineseCounting"/>
      <w:suff w:val="nothing"/>
      <w:lvlText w:val="（%1）"/>
      <w:lvlJc w:val="left"/>
      <w:rPr>
        <w:rFonts w:hint="eastAsia"/>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A877A2"/>
    <w:rsid w:val="01E90844"/>
    <w:rsid w:val="04CC48A5"/>
    <w:rsid w:val="04E8159A"/>
    <w:rsid w:val="06674E4D"/>
    <w:rsid w:val="07724E37"/>
    <w:rsid w:val="078C6EA6"/>
    <w:rsid w:val="082C148A"/>
    <w:rsid w:val="0A456833"/>
    <w:rsid w:val="0ADA341F"/>
    <w:rsid w:val="0C654F6B"/>
    <w:rsid w:val="0C9E047D"/>
    <w:rsid w:val="0F45621F"/>
    <w:rsid w:val="113D0264"/>
    <w:rsid w:val="116C0B49"/>
    <w:rsid w:val="120945EA"/>
    <w:rsid w:val="13541895"/>
    <w:rsid w:val="13E40E6B"/>
    <w:rsid w:val="15565D98"/>
    <w:rsid w:val="15DB629E"/>
    <w:rsid w:val="15EC3809"/>
    <w:rsid w:val="163F682C"/>
    <w:rsid w:val="1673687F"/>
    <w:rsid w:val="171B2DF6"/>
    <w:rsid w:val="17C36FE9"/>
    <w:rsid w:val="183A35E1"/>
    <w:rsid w:val="1E1B192D"/>
    <w:rsid w:val="2149055F"/>
    <w:rsid w:val="228A7081"/>
    <w:rsid w:val="23AB3753"/>
    <w:rsid w:val="23AC639B"/>
    <w:rsid w:val="248C5333"/>
    <w:rsid w:val="2CC24314"/>
    <w:rsid w:val="2ED40E54"/>
    <w:rsid w:val="2F6173BC"/>
    <w:rsid w:val="317433D6"/>
    <w:rsid w:val="31C537E2"/>
    <w:rsid w:val="3244724D"/>
    <w:rsid w:val="324C7EAF"/>
    <w:rsid w:val="332D7CE1"/>
    <w:rsid w:val="34AA6116"/>
    <w:rsid w:val="36BB5604"/>
    <w:rsid w:val="389425B0"/>
    <w:rsid w:val="393A53ED"/>
    <w:rsid w:val="3A667F7C"/>
    <w:rsid w:val="3A6B10EF"/>
    <w:rsid w:val="3DC54FBA"/>
    <w:rsid w:val="3ED216D9"/>
    <w:rsid w:val="407B3020"/>
    <w:rsid w:val="413C53D0"/>
    <w:rsid w:val="41D34149"/>
    <w:rsid w:val="41DF4BEC"/>
    <w:rsid w:val="43340C18"/>
    <w:rsid w:val="43F3462F"/>
    <w:rsid w:val="45DB1ABC"/>
    <w:rsid w:val="48BB76E5"/>
    <w:rsid w:val="48CC36A0"/>
    <w:rsid w:val="495C4A24"/>
    <w:rsid w:val="4A687422"/>
    <w:rsid w:val="4EFF199E"/>
    <w:rsid w:val="517F670C"/>
    <w:rsid w:val="51850890"/>
    <w:rsid w:val="53DB6E8D"/>
    <w:rsid w:val="54A2107A"/>
    <w:rsid w:val="56102E1E"/>
    <w:rsid w:val="567A473C"/>
    <w:rsid w:val="58CB5722"/>
    <w:rsid w:val="5E425E33"/>
    <w:rsid w:val="5F772160"/>
    <w:rsid w:val="60DB227B"/>
    <w:rsid w:val="62BB05B6"/>
    <w:rsid w:val="633839B4"/>
    <w:rsid w:val="63A32D5E"/>
    <w:rsid w:val="63AF3E84"/>
    <w:rsid w:val="63D657AA"/>
    <w:rsid w:val="65A17F37"/>
    <w:rsid w:val="664D59C9"/>
    <w:rsid w:val="69FA5E67"/>
    <w:rsid w:val="6CE40709"/>
    <w:rsid w:val="6EA840E4"/>
    <w:rsid w:val="72FD2525"/>
    <w:rsid w:val="750D1C16"/>
    <w:rsid w:val="75545F0B"/>
    <w:rsid w:val="795D3D1D"/>
    <w:rsid w:val="79A96F62"/>
    <w:rsid w:val="79F91C98"/>
    <w:rsid w:val="79FD2E0A"/>
    <w:rsid w:val="7A0847C2"/>
    <w:rsid w:val="7A15284A"/>
    <w:rsid w:val="7D935F5F"/>
    <w:rsid w:val="7E5971A9"/>
    <w:rsid w:val="7F315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8956</Words>
  <Characters>9204</Characters>
  <Lines>0</Lines>
  <Paragraphs>0</Paragraphs>
  <TotalTime>0</TotalTime>
  <ScaleCrop>false</ScaleCrop>
  <LinksUpToDate>false</LinksUpToDate>
  <CharactersWithSpaces>9752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2026-01-15T06:50:42Z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